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B085" w14:textId="0CC6522D" w:rsidR="00AE2205" w:rsidRDefault="00B053A7">
      <w:pPr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  <w:r w:rsidR="00925394" w:rsidRPr="00AB4090">
        <w:rPr>
          <w:sz w:val="28"/>
        </w:rPr>
        <w:t xml:space="preserve">Załącznik nr </w:t>
      </w:r>
      <w:r w:rsidR="00CC4278">
        <w:rPr>
          <w:sz w:val="28"/>
        </w:rPr>
        <w:t>2</w:t>
      </w:r>
      <w:r w:rsidR="00925394" w:rsidRPr="00AB4090">
        <w:rPr>
          <w:sz w:val="28"/>
        </w:rPr>
        <w:t xml:space="preserve"> </w:t>
      </w:r>
      <w:r w:rsidR="00CC4278" w:rsidRPr="00CC4278">
        <w:rPr>
          <w:sz w:val="28"/>
        </w:rPr>
        <w:t xml:space="preserve">Szczegółowy opis przedmiotu zamówienia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86"/>
        <w:gridCol w:w="935"/>
        <w:gridCol w:w="6341"/>
      </w:tblGrid>
      <w:tr w:rsidR="0001501C" w14:paraId="3D1A4A0A" w14:textId="77777777" w:rsidTr="009D2AC7">
        <w:tc>
          <w:tcPr>
            <w:tcW w:w="1775" w:type="dxa"/>
          </w:tcPr>
          <w:p w14:paraId="26E47D09" w14:textId="77777777" w:rsidR="0001501C" w:rsidRDefault="0001501C" w:rsidP="009D2AC7">
            <w:r>
              <w:t>Monitor interaktywny 65’’</w:t>
            </w:r>
          </w:p>
        </w:tc>
        <w:tc>
          <w:tcPr>
            <w:tcW w:w="560" w:type="dxa"/>
          </w:tcPr>
          <w:p w14:paraId="269D779F" w14:textId="77777777" w:rsidR="0001501C" w:rsidRDefault="0001501C" w:rsidP="009D2AC7">
            <w:r>
              <w:t xml:space="preserve">4 </w:t>
            </w:r>
            <w:proofErr w:type="spellStart"/>
            <w:r>
              <w:t>szt</w:t>
            </w:r>
            <w:proofErr w:type="spellEnd"/>
          </w:p>
        </w:tc>
        <w:tc>
          <w:tcPr>
            <w:tcW w:w="6727" w:type="dxa"/>
          </w:tcPr>
          <w:p w14:paraId="0202CED4" w14:textId="77777777" w:rsidR="0001501C" w:rsidRDefault="0001501C" w:rsidP="009D2AC7">
            <w:r>
              <w:t xml:space="preserve">- </w:t>
            </w:r>
            <w:r w:rsidRPr="00A36E45">
              <w:rPr>
                <w:b/>
                <w:bCs/>
              </w:rPr>
              <w:t>EKRAN</w:t>
            </w:r>
            <w:r>
              <w:t>: Przekątna minimum 65" matryca 4K</w:t>
            </w:r>
          </w:p>
          <w:p w14:paraId="40C55A1B" w14:textId="77777777" w:rsidR="0001501C" w:rsidRDefault="0001501C" w:rsidP="009D2AC7">
            <w:r>
              <w:t>Typ ekranu TFT LCD (bezpośrednie podświetlenie LED)</w:t>
            </w:r>
          </w:p>
          <w:p w14:paraId="6E1E9566" w14:textId="77777777" w:rsidR="0001501C" w:rsidRDefault="0001501C" w:rsidP="009D2AC7">
            <w:r>
              <w:t>Współczynnik kształtu obrazu 16:9</w:t>
            </w:r>
          </w:p>
          <w:p w14:paraId="265667DC" w14:textId="77777777" w:rsidR="0001501C" w:rsidRDefault="0001501C" w:rsidP="009D2AC7">
            <w:r>
              <w:t>Obszar wyświetlania 4K: 1429 × 804 mm (56,3 × 31,7 cala)</w:t>
            </w:r>
          </w:p>
          <w:p w14:paraId="5BDB3BDC" w14:textId="77777777" w:rsidR="0001501C" w:rsidRDefault="0001501C" w:rsidP="009D2AC7">
            <w:r>
              <w:t>Paleta kolorów minimum 1,07 miliarda</w:t>
            </w:r>
          </w:p>
          <w:p w14:paraId="04945811" w14:textId="77777777" w:rsidR="0001501C" w:rsidRDefault="0001501C" w:rsidP="009D2AC7">
            <w:r>
              <w:t xml:space="preserve">Rozdzielczość minimum 4K UHD (3840 × 2160 przy 60 </w:t>
            </w:r>
            <w:proofErr w:type="spellStart"/>
            <w:r>
              <w:t>Hz</w:t>
            </w:r>
            <w:proofErr w:type="spellEnd"/>
            <w:r>
              <w:t>)</w:t>
            </w:r>
          </w:p>
          <w:p w14:paraId="4A03424B" w14:textId="77777777" w:rsidR="0001501C" w:rsidRDefault="0001501C" w:rsidP="009D2AC7">
            <w:r>
              <w:t>Czas reakcji maksimum 8 ms</w:t>
            </w:r>
          </w:p>
          <w:p w14:paraId="7A1300F9" w14:textId="77777777" w:rsidR="0001501C" w:rsidRDefault="0001501C" w:rsidP="009D2AC7">
            <w:r>
              <w:t xml:space="preserve">Częstotliwość odświeżania panelu minimum 60 </w:t>
            </w:r>
            <w:proofErr w:type="spellStart"/>
            <w:r>
              <w:t>Hz</w:t>
            </w:r>
            <w:proofErr w:type="spellEnd"/>
          </w:p>
          <w:p w14:paraId="46194678" w14:textId="77777777" w:rsidR="0001501C" w:rsidRDefault="0001501C" w:rsidP="009D2AC7">
            <w:r>
              <w:t>Żywotność LED minimum 50 000 godzin</w:t>
            </w:r>
          </w:p>
          <w:p w14:paraId="52B146BB" w14:textId="77777777" w:rsidR="0001501C" w:rsidRDefault="0001501C" w:rsidP="009D2AC7">
            <w:r>
              <w:t>Kąt widzenia ekranu LCD minimum 178˚</w:t>
            </w:r>
          </w:p>
          <w:p w14:paraId="75F3454E" w14:textId="77777777" w:rsidR="0001501C" w:rsidRDefault="0001501C" w:rsidP="009D2AC7">
            <w:r>
              <w:t>Jasność minimum 350 cd/m²</w:t>
            </w:r>
          </w:p>
          <w:p w14:paraId="10B6A538" w14:textId="77777777" w:rsidR="0001501C" w:rsidRDefault="0001501C" w:rsidP="009D2AC7">
            <w:r>
              <w:t>Współczynnik kontrastu minimum 4000:1</w:t>
            </w:r>
          </w:p>
          <w:p w14:paraId="49ED0DC4" w14:textId="77777777" w:rsidR="0001501C" w:rsidRDefault="0001501C" w:rsidP="009D2AC7">
            <w:r>
              <w:t xml:space="preserve">Czujnik światła otoczenia </w:t>
            </w:r>
          </w:p>
          <w:p w14:paraId="2635E96D" w14:textId="77777777" w:rsidR="0001501C" w:rsidRDefault="0001501C" w:rsidP="009D2AC7">
            <w:r>
              <w:t>Twardość szkła: minimum 7 w skali Mohsa, 9H (ołówek)</w:t>
            </w:r>
          </w:p>
          <w:p w14:paraId="7D48D089" w14:textId="77777777" w:rsidR="0001501C" w:rsidRDefault="0001501C" w:rsidP="009D2AC7">
            <w:r>
              <w:t>Typ szkła Hartowane, antyodblaskowe</w:t>
            </w:r>
          </w:p>
          <w:p w14:paraId="6D752515" w14:textId="77777777" w:rsidR="0001501C" w:rsidRDefault="0001501C" w:rsidP="009D2AC7">
            <w:r w:rsidRPr="00A36E45">
              <w:rPr>
                <w:b/>
                <w:bCs/>
              </w:rPr>
              <w:t>- INTERAKTYWNOŚĆ</w:t>
            </w:r>
            <w:r>
              <w:t>: Sterowanie z przodu z przyciskami zasilania, menu, kontroli dźwięku i wyboru źródła</w:t>
            </w:r>
          </w:p>
          <w:p w14:paraId="421C86A6" w14:textId="77777777" w:rsidR="0001501C" w:rsidRDefault="0001501C" w:rsidP="009D2AC7">
            <w:r>
              <w:t>Ciągłe punkty dotyku minimum 15</w:t>
            </w:r>
          </w:p>
          <w:p w14:paraId="5B66570F" w14:textId="77777777" w:rsidR="0001501C" w:rsidRDefault="0001501C" w:rsidP="009D2AC7">
            <w:r>
              <w:t>Rozdzielczość technologii dotykowej minimum 32 768 × 32 768 pikseli</w:t>
            </w:r>
          </w:p>
          <w:p w14:paraId="0026C29B" w14:textId="77777777" w:rsidR="0001501C" w:rsidRDefault="0001501C" w:rsidP="009D2AC7">
            <w:r>
              <w:t>Czas reakcji minimum 10 ms</w:t>
            </w:r>
          </w:p>
          <w:p w14:paraId="6A0453DA" w14:textId="77777777" w:rsidR="0001501C" w:rsidRDefault="0001501C" w:rsidP="009D2AC7">
            <w:r>
              <w:t>Dokładność dotyku minimum 1 mm</w:t>
            </w:r>
          </w:p>
          <w:p w14:paraId="4311BE18" w14:textId="77777777" w:rsidR="0001501C" w:rsidRDefault="0001501C" w:rsidP="009D2AC7">
            <w:r>
              <w:t>Tempo śledzenia minimum 4 m/s</w:t>
            </w:r>
          </w:p>
          <w:p w14:paraId="1AB6762A" w14:textId="77777777" w:rsidR="0001501C" w:rsidRDefault="0001501C" w:rsidP="009D2AC7">
            <w:r>
              <w:t xml:space="preserve">Tempo skanowania minimum 100 </w:t>
            </w:r>
            <w:proofErr w:type="spellStart"/>
            <w:r>
              <w:t>Hz</w:t>
            </w:r>
            <w:proofErr w:type="spellEnd"/>
          </w:p>
          <w:p w14:paraId="64DFDBC2" w14:textId="77777777" w:rsidR="0001501C" w:rsidRDefault="0001501C" w:rsidP="009D2AC7">
            <w:r>
              <w:t>Obsługa gestów i krawędzi - obsługa systemu Windows</w:t>
            </w:r>
          </w:p>
          <w:p w14:paraId="7AFE8BA6" w14:textId="77777777" w:rsidR="0001501C" w:rsidRPr="00AA58D4" w:rsidRDefault="0001501C" w:rsidP="009D2AC7">
            <w:pPr>
              <w:rPr>
                <w:b/>
                <w:bCs/>
              </w:rPr>
            </w:pPr>
            <w:r w:rsidRPr="00AA58D4">
              <w:rPr>
                <w:b/>
                <w:bCs/>
              </w:rPr>
              <w:t>Pisak w zestawie</w:t>
            </w:r>
          </w:p>
          <w:p w14:paraId="124047E8" w14:textId="77777777" w:rsidR="0001501C" w:rsidRDefault="0001501C" w:rsidP="009D2AC7">
            <w:r>
              <w:t>Wykrywanie dłoni</w:t>
            </w:r>
          </w:p>
          <w:p w14:paraId="471358A3" w14:textId="77777777" w:rsidR="0001501C" w:rsidRDefault="0001501C" w:rsidP="009D2AC7">
            <w:r>
              <w:t>Dodawanie notatek do dowolnego źródła</w:t>
            </w:r>
          </w:p>
          <w:p w14:paraId="4C3C3863" w14:textId="77777777" w:rsidR="0001501C" w:rsidRDefault="0001501C" w:rsidP="009D2AC7">
            <w:pPr>
              <w:rPr>
                <w:b/>
                <w:bCs/>
              </w:rPr>
            </w:pPr>
            <w:r w:rsidRPr="00AA58D4">
              <w:rPr>
                <w:b/>
                <w:bCs/>
              </w:rPr>
              <w:t xml:space="preserve">Aplikacje preinstalowane na monitorze: </w:t>
            </w:r>
          </w:p>
          <w:p w14:paraId="3D4BF945" w14:textId="77777777" w:rsidR="0001501C" w:rsidRDefault="0001501C" w:rsidP="009D2AC7">
            <w:pPr>
              <w:rPr>
                <w:b/>
                <w:bCs/>
              </w:rPr>
            </w:pPr>
            <w:r w:rsidRPr="00AA58D4">
              <w:rPr>
                <w:b/>
                <w:bCs/>
              </w:rPr>
              <w:t xml:space="preserve">notatki, </w:t>
            </w:r>
            <w:proofErr w:type="spellStart"/>
            <w:r w:rsidRPr="00AA58D4">
              <w:rPr>
                <w:b/>
                <w:bCs/>
              </w:rPr>
              <w:t>timer</w:t>
            </w:r>
            <w:proofErr w:type="spellEnd"/>
            <w:r w:rsidRPr="00AA58D4">
              <w:rPr>
                <w:b/>
                <w:bCs/>
              </w:rPr>
              <w:t>, koło fortuny (system losowania), zdjęcie ekranu, udostępnianie ekranu, łączenie bezprzewodowe z urządzeniami mobilnymi i laptopami</w:t>
            </w:r>
            <w:r>
              <w:rPr>
                <w:b/>
                <w:bCs/>
              </w:rPr>
              <w:t>. Aplikacja z dostępem do ponad 1300 wizualizacji 3D materiałów edukacyjnych w formie modeli trójwymiarowych zainstalowana na monitorze interaktywnym (nie przez przeglądarkę internetową)</w:t>
            </w:r>
            <w:r w:rsidRPr="00173934">
              <w:rPr>
                <w:b/>
                <w:bCs/>
              </w:rPr>
              <w:t>, przeglądarka, czytnik PDF oraz odtwarzacze multimedialne</w:t>
            </w:r>
            <w:r>
              <w:rPr>
                <w:b/>
                <w:bCs/>
              </w:rPr>
              <w:t>.</w:t>
            </w:r>
          </w:p>
          <w:p w14:paraId="26A69499" w14:textId="77777777" w:rsidR="0001501C" w:rsidRPr="00F644F5" w:rsidRDefault="0001501C" w:rsidP="009D2A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Dodatkowo monitor powinien mieć zainstalowane oprogramowanie dla uczniów z zaburzeniami procesów uczenia się w tym z dysleksją i dyskalkulią </w:t>
            </w:r>
          </w:p>
          <w:p w14:paraId="5F9F84D3" w14:textId="77777777" w:rsidR="0001501C" w:rsidRDefault="0001501C" w:rsidP="009D2AC7">
            <w:r>
              <w:t xml:space="preserve">Kompatybilność Windows® od 7 do 10; OS X® od 10.8 do 10.11; </w:t>
            </w:r>
            <w:proofErr w:type="spellStart"/>
            <w:r>
              <w:t>macOS</w:t>
            </w:r>
            <w:proofErr w:type="spellEnd"/>
            <w:r>
              <w:t xml:space="preserve">® Sierra 10.12.1 lub nowszy; Linux® </w:t>
            </w:r>
            <w:proofErr w:type="spellStart"/>
            <w:r>
              <w:t>Ubuntu</w:t>
            </w:r>
            <w:proofErr w:type="spellEnd"/>
            <w:r>
              <w:t>® 18.04 LTS; Chrome OS™</w:t>
            </w:r>
          </w:p>
          <w:p w14:paraId="05B78B4A" w14:textId="77777777" w:rsidR="0001501C" w:rsidRDefault="0001501C" w:rsidP="009D2AC7">
            <w:r>
              <w:t xml:space="preserve">- ZŁACZA: </w:t>
            </w:r>
          </w:p>
          <w:p w14:paraId="6D675A4A" w14:textId="77777777" w:rsidR="0001501C" w:rsidRDefault="0001501C" w:rsidP="009D2AC7">
            <w:r>
              <w:t xml:space="preserve">Złącze OPS, Port USB-A 2.0, Port USB-A 2.0, Port USB z obsługą dotyku (Typ B), Port USB z obsługą dotyku (Typ B) Port USB-A 3.0, 2 </w:t>
            </w:r>
            <w:r>
              <w:lastRenderedPageBreak/>
              <w:t xml:space="preserve">Wejścia HDMI®, 1 Wejście HDMI, Wejście LAN (RJ45), Wyjście LAN (RJ45), RS-232, Wake-on-LAN, </w:t>
            </w:r>
            <w:r w:rsidRPr="00AA58D4">
              <w:rPr>
                <w:b/>
                <w:bCs/>
              </w:rPr>
              <w:t>Moduł Wi-Fi,</w:t>
            </w:r>
            <w:r>
              <w:t xml:space="preserve"> Wejście VGA, Wejście VGA Audio, CVBS, Wejście mikrofonowe (3,5 mm), Słuchawki</w:t>
            </w:r>
          </w:p>
          <w:p w14:paraId="30FFC2DE" w14:textId="77777777" w:rsidR="0001501C" w:rsidRDefault="0001501C" w:rsidP="009D2AC7">
            <w:r>
              <w:t xml:space="preserve">- </w:t>
            </w:r>
            <w:r w:rsidRPr="00366C29">
              <w:t>Podwójne głośniki z przodu</w:t>
            </w:r>
            <w:r>
              <w:t xml:space="preserve"> </w:t>
            </w:r>
            <w:r w:rsidRPr="00366C29">
              <w:t>2 × 15 W</w:t>
            </w:r>
          </w:p>
          <w:p w14:paraId="5EE38D66" w14:textId="77777777" w:rsidR="0001501C" w:rsidRDefault="0001501C" w:rsidP="009D2AC7">
            <w:pPr>
              <w:rPr>
                <w:b/>
                <w:bCs/>
              </w:rPr>
            </w:pPr>
            <w:r w:rsidRPr="00366C29">
              <w:rPr>
                <w:b/>
                <w:bCs/>
              </w:rPr>
              <w:t>- Dodatkowe uwagi/wymogi</w:t>
            </w:r>
            <w:r>
              <w:t xml:space="preserve">: </w:t>
            </w:r>
            <w:r w:rsidRPr="00AA58D4">
              <w:rPr>
                <w:b/>
                <w:bCs/>
              </w:rPr>
              <w:t>monitor musi zawierać uchwyt montażowy, kabel HDMI i USB</w:t>
            </w:r>
          </w:p>
          <w:p w14:paraId="5AB45839" w14:textId="77777777" w:rsidR="0001501C" w:rsidRPr="00AA58D4" w:rsidRDefault="0001501C" w:rsidP="009D2AC7">
            <w:pPr>
              <w:rPr>
                <w:b/>
                <w:bCs/>
              </w:rPr>
            </w:pPr>
            <w:r>
              <w:rPr>
                <w:b/>
                <w:bCs/>
              </w:rPr>
              <w:t>Montaż i instalacja monitora w cenie.</w:t>
            </w:r>
          </w:p>
          <w:p w14:paraId="53A95833" w14:textId="77777777" w:rsidR="0001501C" w:rsidRPr="00AA58D4" w:rsidRDefault="0001501C" w:rsidP="009D2AC7">
            <w:pPr>
              <w:rPr>
                <w:b/>
                <w:bCs/>
              </w:rPr>
            </w:pPr>
            <w:r w:rsidRPr="00AA58D4">
              <w:rPr>
                <w:b/>
                <w:bCs/>
              </w:rPr>
              <w:t>Instalacja monitora odbędzie się we wskazanym przez Zamawiającego miejscu</w:t>
            </w:r>
            <w:r>
              <w:rPr>
                <w:b/>
                <w:bCs/>
              </w:rPr>
              <w:t xml:space="preserve">. </w:t>
            </w:r>
          </w:p>
          <w:p w14:paraId="22A98009" w14:textId="77777777" w:rsidR="0001501C" w:rsidRPr="00AA58D4" w:rsidRDefault="0001501C" w:rsidP="009D2AC7">
            <w:pPr>
              <w:rPr>
                <w:b/>
                <w:bCs/>
              </w:rPr>
            </w:pPr>
            <w:r w:rsidRPr="00AA58D4">
              <w:rPr>
                <w:b/>
                <w:bCs/>
              </w:rPr>
              <w:t>Kabel HDMI i USB musi być doprowadzony do biurka nauczyciela</w:t>
            </w:r>
          </w:p>
          <w:p w14:paraId="5BA19523" w14:textId="77777777" w:rsidR="0001501C" w:rsidRPr="00AA58D4" w:rsidRDefault="0001501C" w:rsidP="009D2AC7">
            <w:pPr>
              <w:rPr>
                <w:b/>
                <w:bCs/>
              </w:rPr>
            </w:pPr>
            <w:r w:rsidRPr="00AA58D4">
              <w:rPr>
                <w:b/>
                <w:bCs/>
              </w:rPr>
              <w:t xml:space="preserve">monitor musi posiadać pełną integrację z usługami Google, w tym możliwość instalacji aplikacji sklepu </w:t>
            </w:r>
            <w:r>
              <w:rPr>
                <w:b/>
                <w:bCs/>
              </w:rPr>
              <w:t>G Play oraz instalację i aktualizację  online aplikacji.</w:t>
            </w:r>
          </w:p>
          <w:p w14:paraId="60E33E93" w14:textId="77777777" w:rsidR="0001501C" w:rsidRPr="00AA58D4" w:rsidRDefault="0001501C" w:rsidP="009D2AC7">
            <w:pPr>
              <w:rPr>
                <w:b/>
                <w:bCs/>
              </w:rPr>
            </w:pPr>
            <w:r w:rsidRPr="00AA58D4">
              <w:rPr>
                <w:b/>
                <w:bCs/>
              </w:rPr>
              <w:t>wymagane jest szkolenie produktowe z obsługi monitora interaktywnego</w:t>
            </w:r>
          </w:p>
          <w:p w14:paraId="08E46599" w14:textId="77777777" w:rsidR="0001501C" w:rsidRDefault="0001501C" w:rsidP="009D2AC7">
            <w:r w:rsidRPr="00AA58D4">
              <w:rPr>
                <w:b/>
                <w:bCs/>
              </w:rPr>
              <w:t xml:space="preserve">- Okres gwarancji nie mniej niż </w:t>
            </w:r>
            <w:r>
              <w:rPr>
                <w:b/>
                <w:bCs/>
              </w:rPr>
              <w:t>60</w:t>
            </w:r>
            <w:r w:rsidRPr="00AA58D4">
              <w:rPr>
                <w:b/>
                <w:bCs/>
              </w:rPr>
              <w:t xml:space="preserve"> miesięcy</w:t>
            </w:r>
          </w:p>
        </w:tc>
      </w:tr>
      <w:tr w:rsidR="0001501C" w14:paraId="0B5E42DE" w14:textId="77777777" w:rsidTr="009D2AC7">
        <w:tc>
          <w:tcPr>
            <w:tcW w:w="1775" w:type="dxa"/>
          </w:tcPr>
          <w:p w14:paraId="349748F6" w14:textId="77777777" w:rsidR="0001501C" w:rsidRDefault="0001501C" w:rsidP="009D2AC7">
            <w:bookmarkStart w:id="0" w:name="_Hlk152861018"/>
            <w:r>
              <w:lastRenderedPageBreak/>
              <w:t>Oprogramowanie edukacyjne</w:t>
            </w:r>
          </w:p>
        </w:tc>
        <w:tc>
          <w:tcPr>
            <w:tcW w:w="560" w:type="dxa"/>
          </w:tcPr>
          <w:p w14:paraId="2AD6CB5A" w14:textId="77777777" w:rsidR="0001501C" w:rsidRDefault="0001501C" w:rsidP="009D2AC7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6727" w:type="dxa"/>
          </w:tcPr>
          <w:p w14:paraId="0D440833" w14:textId="77777777" w:rsidR="0001501C" w:rsidRDefault="0001501C" w:rsidP="009D2AC7">
            <w:pPr>
              <w:rPr>
                <w:rFonts w:ascii="Calibri" w:hAnsi="Calibri" w:cs="Calibri"/>
                <w:sz w:val="20"/>
                <w:szCs w:val="20"/>
              </w:rPr>
            </w:pPr>
            <w:r>
              <w:t>Program zawierający z</w:t>
            </w:r>
            <w:r w:rsidRPr="00705FF1">
              <w:rPr>
                <w:rFonts w:ascii="Calibri" w:hAnsi="Calibri" w:cs="Calibri"/>
                <w:sz w:val="20"/>
                <w:szCs w:val="20"/>
              </w:rPr>
              <w:t xml:space="preserve">estaw 220 interaktywnych ćwiczeń wspomagających rozwijanie sprawności komunikacyjnej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705FF1">
              <w:rPr>
                <w:rFonts w:ascii="Calibri" w:hAnsi="Calibri" w:cs="Calibri"/>
                <w:sz w:val="20"/>
                <w:szCs w:val="20"/>
              </w:rPr>
              <w:t xml:space="preserve">ze szczególnym uwzględnieniem rozpoznawania emocji i gestów, synonimów, homonimów, a także prostych wyrażeń frazeologicznych. Przeznaczony dla nauczycieli i terapeutów pracujących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705FF1">
              <w:rPr>
                <w:rFonts w:ascii="Calibri" w:hAnsi="Calibri" w:cs="Calibri"/>
                <w:sz w:val="20"/>
                <w:szCs w:val="20"/>
              </w:rPr>
              <w:t xml:space="preserve">z dziećmi ze spektrum autyzmu i innymi zaburzeniami sprawności komunikacyjnej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705FF1">
              <w:rPr>
                <w:rFonts w:ascii="Calibri" w:hAnsi="Calibri" w:cs="Calibri"/>
                <w:sz w:val="20"/>
                <w:szCs w:val="20"/>
              </w:rPr>
              <w:t>w wieku szkolnym.</w:t>
            </w:r>
          </w:p>
          <w:p w14:paraId="05FB5177" w14:textId="77777777" w:rsidR="0001501C" w:rsidRPr="0001501C" w:rsidRDefault="0001501C" w:rsidP="009D2AC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501C">
              <w:rPr>
                <w:rFonts w:ascii="Calibri" w:hAnsi="Calibri" w:cs="Calibri"/>
                <w:b/>
                <w:bCs/>
                <w:sz w:val="20"/>
                <w:szCs w:val="20"/>
              </w:rPr>
              <w:t>Program na 4 stanowiska: 2 online+ 2 offline</w:t>
            </w:r>
          </w:p>
          <w:p w14:paraId="1570F9E8" w14:textId="77777777" w:rsidR="0001501C" w:rsidRDefault="0001501C" w:rsidP="009D2AC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5FF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LICENCJA BEZTERMINOWA</w:t>
            </w:r>
          </w:p>
          <w:p w14:paraId="2A2FEB2F" w14:textId="77777777" w:rsidR="0001501C" w:rsidRDefault="0001501C" w:rsidP="009D2AC7"/>
        </w:tc>
      </w:tr>
      <w:bookmarkEnd w:id="0"/>
      <w:tr w:rsidR="0001501C" w14:paraId="3AF50406" w14:textId="77777777" w:rsidTr="009D2AC7">
        <w:tc>
          <w:tcPr>
            <w:tcW w:w="1775" w:type="dxa"/>
          </w:tcPr>
          <w:p w14:paraId="3A37FB7E" w14:textId="77777777" w:rsidR="0001501C" w:rsidRDefault="0001501C" w:rsidP="009D2AC7">
            <w:r>
              <w:t>Oprogramowanie</w:t>
            </w:r>
          </w:p>
        </w:tc>
        <w:tc>
          <w:tcPr>
            <w:tcW w:w="560" w:type="dxa"/>
          </w:tcPr>
          <w:p w14:paraId="10B7D722" w14:textId="77777777" w:rsidR="0001501C" w:rsidRDefault="0001501C" w:rsidP="009D2AC7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6727" w:type="dxa"/>
          </w:tcPr>
          <w:p w14:paraId="77C4FC54" w14:textId="77777777" w:rsidR="0001501C" w:rsidRDefault="0001501C" w:rsidP="009D2AC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Program zawiera ponad</w:t>
            </w:r>
            <w:r w:rsidRPr="00A530E1">
              <w:rPr>
                <w:rFonts w:ascii="Calibri" w:hAnsi="Calibri" w:cs="Calibri"/>
                <w:sz w:val="20"/>
                <w:szCs w:val="20"/>
              </w:rPr>
              <w:t xml:space="preserve"> 1200 ćwiczeń multimedialnych o różnym poziomie trudności kształcących świadomość ortograficzną i poprawną pisownię u dzieci w wieku 6+. Do wykorzystania na zajęciach korekcyjno-kompensacyjnych lub dydaktyczno-wyrównawczych,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530E1">
              <w:rPr>
                <w:rFonts w:ascii="Calibri" w:hAnsi="Calibri" w:cs="Calibri"/>
                <w:sz w:val="20"/>
                <w:szCs w:val="20"/>
              </w:rPr>
              <w:t>a także na lekcjach mających na celu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530E1">
              <w:rPr>
                <w:rFonts w:ascii="Calibri" w:hAnsi="Calibri" w:cs="Calibri"/>
                <w:sz w:val="20"/>
                <w:szCs w:val="20"/>
              </w:rPr>
              <w:t>kształtowanie świadomości ortograficznej i poprawnej pisowni.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01501C">
              <w:rPr>
                <w:rFonts w:ascii="Calibri" w:hAnsi="Calibri" w:cs="Calibri"/>
                <w:b/>
                <w:bCs/>
                <w:sz w:val="20"/>
                <w:szCs w:val="20"/>
              </w:rPr>
              <w:t>Program na 9 stanowisk: 3 online+ 6 offline</w:t>
            </w:r>
            <w:r w:rsidRPr="0001501C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LICENCJA BEZTERMINOWA</w:t>
            </w:r>
          </w:p>
          <w:p w14:paraId="5B111F92" w14:textId="77777777" w:rsidR="0001501C" w:rsidRDefault="0001501C" w:rsidP="009D2AC7"/>
        </w:tc>
      </w:tr>
      <w:tr w:rsidR="0001501C" w14:paraId="3D4BA8A2" w14:textId="77777777" w:rsidTr="009D2AC7">
        <w:tc>
          <w:tcPr>
            <w:tcW w:w="1775" w:type="dxa"/>
          </w:tcPr>
          <w:p w14:paraId="64A827CE" w14:textId="77777777" w:rsidR="0001501C" w:rsidRDefault="0001501C" w:rsidP="009D2AC7">
            <w:r>
              <w:t>Oprogramowanie</w:t>
            </w:r>
          </w:p>
        </w:tc>
        <w:tc>
          <w:tcPr>
            <w:tcW w:w="560" w:type="dxa"/>
          </w:tcPr>
          <w:p w14:paraId="220BEA92" w14:textId="77777777" w:rsidR="0001501C" w:rsidRDefault="0001501C" w:rsidP="009D2AC7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6727" w:type="dxa"/>
          </w:tcPr>
          <w:p w14:paraId="3E32A99F" w14:textId="77777777" w:rsidR="0001501C" w:rsidRDefault="0001501C" w:rsidP="009D2AC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Program zawiera ponad</w:t>
            </w:r>
            <w:r w:rsidRPr="00A530E1">
              <w:rPr>
                <w:rFonts w:ascii="Calibri" w:hAnsi="Calibri" w:cs="Calibri"/>
                <w:sz w:val="20"/>
                <w:szCs w:val="20"/>
              </w:rPr>
              <w:t xml:space="preserve"> 1200 ćwiczeń multimedialnych o różnym poziomie trudności kształcących świadomość ortograficzną i poprawną pisownię u dzieci w wieku 6+. Do wykorzystania na zajęciach korekcyjno-kompensacyjnych lub dydaktyczno-wyrównawczych,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530E1">
              <w:rPr>
                <w:rFonts w:ascii="Calibri" w:hAnsi="Calibri" w:cs="Calibri"/>
                <w:sz w:val="20"/>
                <w:szCs w:val="20"/>
              </w:rPr>
              <w:t>a także na lekcjach mających na celu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530E1">
              <w:rPr>
                <w:rFonts w:ascii="Calibri" w:hAnsi="Calibri" w:cs="Calibri"/>
                <w:sz w:val="20"/>
                <w:szCs w:val="20"/>
              </w:rPr>
              <w:t>kształtowanie świadomości ortograficznej i poprawnej pisowni.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01501C">
              <w:rPr>
                <w:rFonts w:ascii="Calibri" w:hAnsi="Calibri" w:cs="Calibri"/>
                <w:b/>
                <w:bCs/>
                <w:sz w:val="20"/>
                <w:szCs w:val="20"/>
              </w:rPr>
              <w:t>Program na 9 stanowisk: 3 online+ 6 offline</w:t>
            </w:r>
            <w:r w:rsidRPr="0001501C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LICENCJA BEZTERMINOWA</w:t>
            </w:r>
          </w:p>
          <w:p w14:paraId="38A216A6" w14:textId="77777777" w:rsidR="0001501C" w:rsidRDefault="0001501C" w:rsidP="009D2AC7"/>
        </w:tc>
      </w:tr>
      <w:tr w:rsidR="0001501C" w14:paraId="5509E055" w14:textId="77777777" w:rsidTr="009D2AC7">
        <w:tc>
          <w:tcPr>
            <w:tcW w:w="1775" w:type="dxa"/>
          </w:tcPr>
          <w:p w14:paraId="1A912FE3" w14:textId="77777777" w:rsidR="0001501C" w:rsidRDefault="0001501C" w:rsidP="009D2AC7">
            <w:r>
              <w:t>Klocki edukacyjne konstrukcyjne</w:t>
            </w:r>
          </w:p>
        </w:tc>
        <w:tc>
          <w:tcPr>
            <w:tcW w:w="560" w:type="dxa"/>
          </w:tcPr>
          <w:p w14:paraId="4EE6D38F" w14:textId="77777777" w:rsidR="0001501C" w:rsidRDefault="0001501C" w:rsidP="009D2AC7">
            <w:r>
              <w:t>2 zestawy</w:t>
            </w:r>
          </w:p>
        </w:tc>
        <w:tc>
          <w:tcPr>
            <w:tcW w:w="6727" w:type="dxa"/>
          </w:tcPr>
          <w:p w14:paraId="084EE25B" w14:textId="77777777" w:rsidR="0001501C" w:rsidRDefault="0001501C" w:rsidP="009D2AC7">
            <w:r>
              <w:t>Zestaw klocków edukacyjnych zawierający minimum:</w:t>
            </w:r>
          </w:p>
          <w:p w14:paraId="554E6286" w14:textId="77777777" w:rsidR="0001501C" w:rsidRPr="0001501C" w:rsidRDefault="0001501C" w:rsidP="0001501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01501C">
              <w:rPr>
                <w:rFonts w:eastAsia="Times New Roman" w:cstheme="minorHAnsi"/>
                <w:b/>
                <w:bCs/>
                <w:lang w:eastAsia="pl-PL"/>
              </w:rPr>
              <w:t>1098 elementów</w:t>
            </w:r>
            <w:r w:rsidRPr="0001501C">
              <w:rPr>
                <w:rFonts w:eastAsia="Times New Roman" w:cstheme="minorHAnsi"/>
                <w:lang w:eastAsia="pl-PL"/>
              </w:rPr>
              <w:t>: W zestawie znajdują się elementy w różnych kształtach i rozmiarach, dzięki czemu dzieci będą mogły tworzyć różnorodne konstrukcje.</w:t>
            </w:r>
          </w:p>
          <w:p w14:paraId="3B2681A0" w14:textId="77777777" w:rsidR="0001501C" w:rsidRPr="0001501C" w:rsidRDefault="0001501C" w:rsidP="0001501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01501C">
              <w:rPr>
                <w:rFonts w:eastAsia="Times New Roman" w:cstheme="minorHAnsi"/>
                <w:b/>
                <w:bCs/>
                <w:lang w:eastAsia="pl-PL"/>
              </w:rPr>
              <w:t>Podręcznik dla nauczyciela</w:t>
            </w:r>
            <w:r w:rsidRPr="0001501C">
              <w:rPr>
                <w:rFonts w:eastAsia="Times New Roman" w:cstheme="minorHAnsi"/>
                <w:lang w:eastAsia="pl-PL"/>
              </w:rPr>
              <w:t>: Podręcznik zawiera wskazówki i pomysły na zajęcia z wykorzystaniem klocków.</w:t>
            </w:r>
          </w:p>
          <w:p w14:paraId="4F47B3E3" w14:textId="77777777" w:rsidR="0001501C" w:rsidRPr="0001501C" w:rsidRDefault="0001501C" w:rsidP="0001501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01501C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Karty Młodego Konstruktora</w:t>
            </w:r>
            <w:r w:rsidRPr="0001501C">
              <w:rPr>
                <w:rFonts w:eastAsia="Times New Roman" w:cstheme="minorHAnsi"/>
                <w:lang w:eastAsia="pl-PL"/>
              </w:rPr>
              <w:t>: Karty zawierają instrukcje jak korzystać z klocków w sposób bardzo przejrzysty dla dzieci.</w:t>
            </w:r>
          </w:p>
          <w:p w14:paraId="0CCCE05D" w14:textId="77777777" w:rsidR="0001501C" w:rsidRPr="0001501C" w:rsidRDefault="0001501C" w:rsidP="0001501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01501C">
              <w:rPr>
                <w:rFonts w:eastAsia="Times New Roman" w:cstheme="minorHAnsi"/>
                <w:b/>
                <w:bCs/>
                <w:lang w:eastAsia="pl-PL"/>
              </w:rPr>
              <w:t>Karty Modeli</w:t>
            </w:r>
            <w:r w:rsidRPr="0001501C">
              <w:rPr>
                <w:rFonts w:eastAsia="Times New Roman" w:cstheme="minorHAnsi"/>
                <w:lang w:eastAsia="pl-PL"/>
              </w:rPr>
              <w:t>: Karty zawierają "instrukcje" do budowy bardziej złożonych konstrukcji.</w:t>
            </w:r>
          </w:p>
          <w:p w14:paraId="2AC7FB8B" w14:textId="77777777" w:rsidR="0001501C" w:rsidRDefault="0001501C" w:rsidP="009D2AC7"/>
        </w:tc>
      </w:tr>
    </w:tbl>
    <w:p w14:paraId="23CDEA32" w14:textId="77777777" w:rsidR="0001501C" w:rsidRDefault="0001501C">
      <w:pPr>
        <w:rPr>
          <w:sz w:val="28"/>
        </w:rPr>
      </w:pPr>
    </w:p>
    <w:sectPr w:rsidR="0001501C" w:rsidSect="001E2EFE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61A3"/>
    <w:multiLevelType w:val="hybridMultilevel"/>
    <w:tmpl w:val="D15A1114"/>
    <w:lvl w:ilvl="0" w:tplc="23061258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577F"/>
    <w:multiLevelType w:val="hybridMultilevel"/>
    <w:tmpl w:val="FC9E01DE"/>
    <w:lvl w:ilvl="0" w:tplc="23061258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B5C"/>
    <w:multiLevelType w:val="hybridMultilevel"/>
    <w:tmpl w:val="9680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D6905"/>
    <w:multiLevelType w:val="hybridMultilevel"/>
    <w:tmpl w:val="3CC0E6D0"/>
    <w:lvl w:ilvl="0" w:tplc="2306125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AD27DB"/>
    <w:multiLevelType w:val="hybridMultilevel"/>
    <w:tmpl w:val="5B4A8E0E"/>
    <w:lvl w:ilvl="0" w:tplc="23061258">
      <w:numFmt w:val="bullet"/>
      <w:lvlText w:val="•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80A02C3"/>
    <w:multiLevelType w:val="hybridMultilevel"/>
    <w:tmpl w:val="7D386B3E"/>
    <w:lvl w:ilvl="0" w:tplc="2306125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5B44FF"/>
    <w:multiLevelType w:val="multilevel"/>
    <w:tmpl w:val="653C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FE0B1F"/>
    <w:multiLevelType w:val="hybridMultilevel"/>
    <w:tmpl w:val="90D0E7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17407263">
    <w:abstractNumId w:val="7"/>
  </w:num>
  <w:num w:numId="2" w16cid:durableId="1503398102">
    <w:abstractNumId w:val="3"/>
  </w:num>
  <w:num w:numId="3" w16cid:durableId="624240450">
    <w:abstractNumId w:val="4"/>
  </w:num>
  <w:num w:numId="4" w16cid:durableId="778911120">
    <w:abstractNumId w:val="5"/>
  </w:num>
  <w:num w:numId="5" w16cid:durableId="107093979">
    <w:abstractNumId w:val="1"/>
  </w:num>
  <w:num w:numId="6" w16cid:durableId="87970845">
    <w:abstractNumId w:val="0"/>
  </w:num>
  <w:num w:numId="7" w16cid:durableId="1732926157">
    <w:abstractNumId w:val="2"/>
  </w:num>
  <w:num w:numId="8" w16cid:durableId="1963881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7E"/>
    <w:rsid w:val="0001501C"/>
    <w:rsid w:val="00032AD5"/>
    <w:rsid w:val="00065539"/>
    <w:rsid w:val="00086DE8"/>
    <w:rsid w:val="000E344B"/>
    <w:rsid w:val="00106C06"/>
    <w:rsid w:val="00147858"/>
    <w:rsid w:val="00173DDD"/>
    <w:rsid w:val="0019660F"/>
    <w:rsid w:val="001B6B2F"/>
    <w:rsid w:val="001C02A3"/>
    <w:rsid w:val="001C1EFE"/>
    <w:rsid w:val="001E2EFE"/>
    <w:rsid w:val="001E3A80"/>
    <w:rsid w:val="002674A0"/>
    <w:rsid w:val="002A49D2"/>
    <w:rsid w:val="002B5233"/>
    <w:rsid w:val="002B5F0A"/>
    <w:rsid w:val="002C4259"/>
    <w:rsid w:val="00412DD6"/>
    <w:rsid w:val="00456112"/>
    <w:rsid w:val="004B40F6"/>
    <w:rsid w:val="00542FC0"/>
    <w:rsid w:val="0055467C"/>
    <w:rsid w:val="005C1FA4"/>
    <w:rsid w:val="005C3C6C"/>
    <w:rsid w:val="00605977"/>
    <w:rsid w:val="00680682"/>
    <w:rsid w:val="006B5AA1"/>
    <w:rsid w:val="006B7D36"/>
    <w:rsid w:val="006E2513"/>
    <w:rsid w:val="006E7208"/>
    <w:rsid w:val="00715D30"/>
    <w:rsid w:val="00733F9D"/>
    <w:rsid w:val="007506AD"/>
    <w:rsid w:val="007510AA"/>
    <w:rsid w:val="0076032B"/>
    <w:rsid w:val="008019C3"/>
    <w:rsid w:val="00855647"/>
    <w:rsid w:val="00925394"/>
    <w:rsid w:val="00995C9A"/>
    <w:rsid w:val="009A7D7D"/>
    <w:rsid w:val="009B18B4"/>
    <w:rsid w:val="009F1A6E"/>
    <w:rsid w:val="00A829F5"/>
    <w:rsid w:val="00A8377E"/>
    <w:rsid w:val="00A962FB"/>
    <w:rsid w:val="00AA6237"/>
    <w:rsid w:val="00AB3D12"/>
    <w:rsid w:val="00AB4090"/>
    <w:rsid w:val="00AE2205"/>
    <w:rsid w:val="00B053A7"/>
    <w:rsid w:val="00B43BE1"/>
    <w:rsid w:val="00B70BDD"/>
    <w:rsid w:val="00BA1274"/>
    <w:rsid w:val="00BE4EA0"/>
    <w:rsid w:val="00C00D6D"/>
    <w:rsid w:val="00C2666D"/>
    <w:rsid w:val="00C572A3"/>
    <w:rsid w:val="00CC4278"/>
    <w:rsid w:val="00D1624B"/>
    <w:rsid w:val="00D92FAC"/>
    <w:rsid w:val="00DB50A5"/>
    <w:rsid w:val="00DC30F2"/>
    <w:rsid w:val="00DF04FA"/>
    <w:rsid w:val="00E77656"/>
    <w:rsid w:val="00E85ED9"/>
    <w:rsid w:val="00F8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B432"/>
  <w15:chartTrackingRefBased/>
  <w15:docId w15:val="{6ACDB3F6-82BE-402C-AC4C-A2A24505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F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2FAC"/>
    <w:pPr>
      <w:ind w:left="720"/>
      <w:contextualSpacing/>
    </w:pPr>
  </w:style>
  <w:style w:type="table" w:customStyle="1" w:styleId="TableNormal">
    <w:name w:val="Table Normal"/>
    <w:rsid w:val="00733F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</dc:creator>
  <cp:keywords/>
  <dc:description/>
  <cp:lastModifiedBy>Paweł M</cp:lastModifiedBy>
  <cp:revision>19</cp:revision>
  <dcterms:created xsi:type="dcterms:W3CDTF">2021-12-13T17:22:00Z</dcterms:created>
  <dcterms:modified xsi:type="dcterms:W3CDTF">2023-12-07T16:20:00Z</dcterms:modified>
</cp:coreProperties>
</file>